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The Restaurant Industry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Students will develop an understanding of the different aspects of the restaurant industry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Objective 1: Understand the key terms and functions of a restaurant business.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Restaurant: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Quick-Service Restaurant: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Examples: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Full-Service Restaurant: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Examples: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Casual Dining: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ab/>
        <w:t xml:space="preserve">Examples: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DINING MARKET VS EATING MARKET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Dining market meets ____________________needs.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Eating market meets _____________________needs.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b w:val="1"/>
          <w:rtl w:val="0"/>
        </w:rPr>
        <w:t xml:space="preserve">DINING MARKET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EATING MARKET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Objective 2 : Identify different jobs, careers, and opportunities in restaurants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Front of the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Job</w:t>
        <w:tab/>
        <w:tab/>
        <w:t xml:space="preserve">          Description</w:t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0"/>
        <w:gridCol w:w="7380"/>
        <w:tblGridChange w:id="0">
          <w:tblGrid>
            <w:gridCol w:w="1980"/>
            <w:gridCol w:w="73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Back of the house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Job</w:t>
        <w:tab/>
        <w:tab/>
        <w:t xml:space="preserve">          Description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7350"/>
        <w:tblGridChange w:id="0">
          <w:tblGrid>
            <w:gridCol w:w="2010"/>
            <w:gridCol w:w="735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headerReference r:id="rId6" w:type="first"/>
      <w:footerReference r:id="rId7" w:type="first"/>
      <w:pgSz w:h="15840" w:w="12240"/>
      <w:pgMar w:bottom="1440" w:top="1440" w:left="1440" w:right="14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Hospitality and Tourism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Listening Guide</w:t>
    </w:r>
  </w:p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Standard 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/Relationships>
</file>